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46F" w:rsidRPr="00365BBB" w:rsidRDefault="0067046F" w:rsidP="006B7E49">
      <w:pPr>
        <w:spacing w:after="0" w:line="276" w:lineRule="auto"/>
        <w:jc w:val="both"/>
        <w:rPr>
          <w:rFonts w:ascii="Palatino Linotype" w:hAnsi="Palatino Linotype" w:cs="Tahoma"/>
          <w:b/>
        </w:rPr>
      </w:pPr>
    </w:p>
    <w:p w:rsidR="00553ADE" w:rsidRDefault="00553ADE" w:rsidP="006B7E49">
      <w:pPr>
        <w:spacing w:after="0" w:line="276" w:lineRule="auto"/>
        <w:jc w:val="both"/>
        <w:rPr>
          <w:rFonts w:ascii="Palatino Linotype" w:hAnsi="Palatino Linotype" w:cs="Tahoma"/>
          <w:b/>
        </w:rPr>
      </w:pPr>
      <w:r w:rsidRPr="00365BBB">
        <w:rPr>
          <w:rFonts w:ascii="Palatino Linotype" w:hAnsi="Palatino Linotype" w:cs="Tahoma"/>
          <w:b/>
        </w:rPr>
        <w:t xml:space="preserve">VOTO PARTICULAR QUE FORMULA </w:t>
      </w:r>
      <w:r w:rsidR="00026435">
        <w:rPr>
          <w:rFonts w:ascii="Palatino Linotype" w:hAnsi="Palatino Linotype" w:cs="Tahoma"/>
          <w:b/>
        </w:rPr>
        <w:t>EL</w:t>
      </w:r>
      <w:r w:rsidRPr="00365BBB">
        <w:rPr>
          <w:rFonts w:ascii="Palatino Linotype" w:hAnsi="Palatino Linotype" w:cs="Tahoma"/>
          <w:b/>
        </w:rPr>
        <w:t xml:space="preserve"> COMISIONADO</w:t>
      </w:r>
      <w:r w:rsidR="00026435">
        <w:rPr>
          <w:rFonts w:ascii="Palatino Linotype" w:hAnsi="Palatino Linotype" w:cs="Tahoma"/>
          <w:b/>
        </w:rPr>
        <w:t xml:space="preserve"> </w:t>
      </w:r>
      <w:r w:rsidRPr="00365BBB">
        <w:rPr>
          <w:rFonts w:ascii="Palatino Linotype" w:hAnsi="Palatino Linotype" w:cs="Tahoma"/>
          <w:b/>
        </w:rPr>
        <w:t>LUIS GUSTAVO PARRA NORIEGA, EN RELACIÓN CON LA RESOLUCIÓN DEL RECURSO DE REVISIÓN</w:t>
      </w:r>
      <w:r w:rsidR="003410EA" w:rsidRPr="00365BBB">
        <w:rPr>
          <w:rFonts w:ascii="Palatino Linotype" w:hAnsi="Palatino Linotype" w:cs="Tahoma"/>
          <w:b/>
        </w:rPr>
        <w:t xml:space="preserve"> </w:t>
      </w:r>
      <w:r w:rsidR="0077488C" w:rsidRPr="00365BBB">
        <w:rPr>
          <w:rFonts w:ascii="Palatino Linotype" w:hAnsi="Palatino Linotype" w:cs="Tahoma"/>
          <w:b/>
          <w:bCs/>
          <w:lang w:val="es-MX"/>
        </w:rPr>
        <w:t>03</w:t>
      </w:r>
      <w:r w:rsidR="009479AA">
        <w:rPr>
          <w:rFonts w:ascii="Palatino Linotype" w:hAnsi="Palatino Linotype" w:cs="Tahoma"/>
          <w:b/>
          <w:bCs/>
          <w:lang w:val="es-MX"/>
        </w:rPr>
        <w:t>459</w:t>
      </w:r>
      <w:r w:rsidR="0077488C" w:rsidRPr="00365BBB">
        <w:rPr>
          <w:rFonts w:ascii="Palatino Linotype" w:hAnsi="Palatino Linotype" w:cs="Tahoma"/>
          <w:b/>
          <w:bCs/>
          <w:lang w:val="es-MX"/>
        </w:rPr>
        <w:t>/INFOEM/IP/RR/2018</w:t>
      </w:r>
      <w:r w:rsidR="0067046F" w:rsidRPr="00365BBB">
        <w:rPr>
          <w:rFonts w:ascii="Palatino Linotype" w:hAnsi="Palatino Linotype" w:cs="Tahoma"/>
          <w:b/>
          <w:bCs/>
          <w:lang w:val="es-MX"/>
        </w:rPr>
        <w:t>,</w:t>
      </w:r>
      <w:r w:rsidR="0077488C" w:rsidRPr="00365BBB">
        <w:rPr>
          <w:rFonts w:ascii="Palatino Linotype" w:hAnsi="Palatino Linotype" w:cs="Tahoma"/>
          <w:b/>
          <w:bCs/>
          <w:lang w:val="es-MX"/>
        </w:rPr>
        <w:t xml:space="preserve"> </w:t>
      </w:r>
      <w:r w:rsidRPr="00365BBB">
        <w:rPr>
          <w:rFonts w:ascii="Palatino Linotype" w:hAnsi="Palatino Linotype" w:cs="Tahoma"/>
          <w:b/>
        </w:rPr>
        <w:t>PROMOVIDO EN CONTRA D</w:t>
      </w:r>
      <w:r w:rsidR="009479AA">
        <w:rPr>
          <w:rFonts w:ascii="Palatino Linotype" w:hAnsi="Palatino Linotype" w:cs="Tahoma"/>
          <w:b/>
        </w:rPr>
        <w:t>EL TECNOLÓGICO DE ESTUDIOS SUPERIORES DE JILOTEPEC.</w:t>
      </w:r>
    </w:p>
    <w:p w:rsidR="009479AA" w:rsidRPr="00365BBB" w:rsidRDefault="009479AA" w:rsidP="006B7E49">
      <w:pPr>
        <w:spacing w:after="0" w:line="276" w:lineRule="auto"/>
        <w:jc w:val="both"/>
        <w:rPr>
          <w:rFonts w:ascii="Palatino Linotype" w:hAnsi="Palatino Linotype" w:cs="Tahoma"/>
        </w:rPr>
      </w:pPr>
    </w:p>
    <w:p w:rsidR="00553ADE" w:rsidRPr="00365BBB" w:rsidRDefault="00553ADE" w:rsidP="006B7E49">
      <w:pPr>
        <w:spacing w:after="0" w:line="276" w:lineRule="auto"/>
        <w:jc w:val="both"/>
        <w:rPr>
          <w:rFonts w:ascii="Palatino Linotype" w:hAnsi="Palatino Linotype" w:cs="Tahoma"/>
        </w:rPr>
      </w:pPr>
      <w:r w:rsidRPr="00365BBB">
        <w:rPr>
          <w:rFonts w:ascii="Palatino Linotype" w:hAnsi="Palatino Linotype" w:cs="Tahoma"/>
        </w:rPr>
        <w:t xml:space="preserve">En términos de lo dispuesto por el artículo </w:t>
      </w:r>
      <w:r w:rsidR="00927BD1" w:rsidRPr="00365BBB">
        <w:rPr>
          <w:rFonts w:ascii="Palatino Linotype" w:hAnsi="Palatino Linotype" w:cs="Tahoma"/>
        </w:rPr>
        <w:t xml:space="preserve">189, párrafo primero, de la Ley de Transparencia y Acceso a la Información Pública del Estado de México y Municipios; </w:t>
      </w:r>
      <w:r w:rsidRPr="00365BBB">
        <w:rPr>
          <w:rFonts w:ascii="Palatino Linotype" w:hAnsi="Palatino Linotype" w:cs="Tahoma"/>
        </w:rPr>
        <w:t xml:space="preserve">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00584D73" w:rsidRPr="00365BBB">
        <w:rPr>
          <w:rFonts w:ascii="Palatino Linotype" w:hAnsi="Palatino Linotype" w:cs="Tahoma"/>
          <w:b/>
        </w:rPr>
        <w:t>V</w:t>
      </w:r>
      <w:r w:rsidRPr="00365BBB">
        <w:rPr>
          <w:rFonts w:ascii="Palatino Linotype" w:hAnsi="Palatino Linotype" w:cs="Tahoma"/>
          <w:b/>
        </w:rPr>
        <w:t xml:space="preserve">oto </w:t>
      </w:r>
      <w:r w:rsidR="00584D73" w:rsidRPr="00365BBB">
        <w:rPr>
          <w:rFonts w:ascii="Palatino Linotype" w:hAnsi="Palatino Linotype" w:cs="Tahoma"/>
          <w:b/>
        </w:rPr>
        <w:t>P</w:t>
      </w:r>
      <w:r w:rsidRPr="00365BBB">
        <w:rPr>
          <w:rFonts w:ascii="Palatino Linotype" w:hAnsi="Palatino Linotype" w:cs="Tahoma"/>
          <w:b/>
        </w:rPr>
        <w:t>articular</w:t>
      </w:r>
      <w:r w:rsidR="00B5279E">
        <w:rPr>
          <w:rFonts w:ascii="Palatino Linotype" w:hAnsi="Palatino Linotype" w:cs="Tahoma"/>
          <w:b/>
        </w:rPr>
        <w:t xml:space="preserve"> </w:t>
      </w:r>
      <w:r w:rsidRPr="00365BBB">
        <w:rPr>
          <w:rFonts w:ascii="Palatino Linotype" w:hAnsi="Palatino Linotype" w:cs="Tahoma"/>
        </w:rPr>
        <w:t xml:space="preserve">por no compartir en su totalidad las consideraciones que sustentan la </w:t>
      </w:r>
      <w:r w:rsidR="00584D73" w:rsidRPr="00365BBB">
        <w:rPr>
          <w:rFonts w:ascii="Palatino Linotype" w:hAnsi="Palatino Linotype" w:cs="Tahoma"/>
        </w:rPr>
        <w:t>R</w:t>
      </w:r>
      <w:r w:rsidRPr="00365BBB">
        <w:rPr>
          <w:rFonts w:ascii="Palatino Linotype" w:hAnsi="Palatino Linotype" w:cs="Tahoma"/>
        </w:rPr>
        <w:t xml:space="preserve">esolución del </w:t>
      </w:r>
      <w:r w:rsidR="00584D73" w:rsidRPr="00365BBB">
        <w:rPr>
          <w:rFonts w:ascii="Palatino Linotype" w:hAnsi="Palatino Linotype" w:cs="Tahoma"/>
        </w:rPr>
        <w:t>R</w:t>
      </w:r>
      <w:r w:rsidRPr="00365BBB">
        <w:rPr>
          <w:rFonts w:ascii="Palatino Linotype" w:hAnsi="Palatino Linotype" w:cs="Tahoma"/>
        </w:rPr>
        <w:t xml:space="preserve">ecurso de </w:t>
      </w:r>
      <w:r w:rsidR="00584D73" w:rsidRPr="00365BBB">
        <w:rPr>
          <w:rFonts w:ascii="Palatino Linotype" w:hAnsi="Palatino Linotype" w:cs="Tahoma"/>
        </w:rPr>
        <w:t>R</w:t>
      </w:r>
      <w:r w:rsidRPr="00365BBB">
        <w:rPr>
          <w:rFonts w:ascii="Palatino Linotype" w:hAnsi="Palatino Linotype" w:cs="Tahoma"/>
        </w:rPr>
        <w:t xml:space="preserve">evisión </w:t>
      </w:r>
      <w:r w:rsidR="00170003" w:rsidRPr="00365BBB">
        <w:rPr>
          <w:rFonts w:ascii="Palatino Linotype" w:hAnsi="Palatino Linotype" w:cs="Tahoma"/>
        </w:rPr>
        <w:t>03</w:t>
      </w:r>
      <w:r w:rsidR="00E8609A">
        <w:rPr>
          <w:rFonts w:ascii="Palatino Linotype" w:hAnsi="Palatino Linotype" w:cs="Tahoma"/>
        </w:rPr>
        <w:t>4</w:t>
      </w:r>
      <w:r w:rsidR="00011959">
        <w:rPr>
          <w:rFonts w:ascii="Palatino Linotype" w:hAnsi="Palatino Linotype" w:cs="Tahoma"/>
        </w:rPr>
        <w:t>59</w:t>
      </w:r>
      <w:r w:rsidR="00170003" w:rsidRPr="00365BBB">
        <w:rPr>
          <w:rFonts w:ascii="Palatino Linotype" w:hAnsi="Palatino Linotype" w:cs="Tahoma"/>
        </w:rPr>
        <w:t>/INFOEM/IP/RR/2018</w:t>
      </w:r>
      <w:r w:rsidRPr="00365BBB">
        <w:rPr>
          <w:rFonts w:ascii="Palatino Linotype" w:hAnsi="Palatino Linotype" w:cs="Tahoma"/>
        </w:rPr>
        <w:t>.</w:t>
      </w:r>
    </w:p>
    <w:p w:rsidR="00553ADE" w:rsidRPr="00365BBB" w:rsidRDefault="00553ADE" w:rsidP="006B7E49">
      <w:pPr>
        <w:spacing w:after="0" w:line="276" w:lineRule="auto"/>
        <w:jc w:val="both"/>
        <w:rPr>
          <w:rFonts w:ascii="Palatino Linotype" w:hAnsi="Palatino Linotype" w:cs="Tahoma"/>
        </w:rPr>
      </w:pPr>
    </w:p>
    <w:p w:rsidR="00365BBB" w:rsidRPr="00AB3A4B" w:rsidRDefault="0037237D" w:rsidP="006B7E49">
      <w:pPr>
        <w:spacing w:after="0" w:line="276" w:lineRule="auto"/>
        <w:jc w:val="both"/>
        <w:rPr>
          <w:rFonts w:ascii="Palatino Linotype" w:hAnsi="Palatino Linotype" w:cs="Tahoma"/>
        </w:rPr>
      </w:pPr>
      <w:r w:rsidRPr="00365BBB">
        <w:rPr>
          <w:rFonts w:ascii="Palatino Linotype" w:hAnsi="Palatino Linotype" w:cs="Tahoma"/>
        </w:rPr>
        <w:t>E</w:t>
      </w:r>
      <w:r w:rsidR="00365BBB" w:rsidRPr="00365BBB">
        <w:rPr>
          <w:rFonts w:ascii="Palatino Linotype" w:hAnsi="Palatino Linotype" w:cs="Tahoma"/>
        </w:rPr>
        <w:t xml:space="preserve">n la solicitud de la </w:t>
      </w:r>
      <w:r w:rsidRPr="00365BBB">
        <w:rPr>
          <w:rFonts w:ascii="Palatino Linotype" w:hAnsi="Palatino Linotype" w:cs="Tahoma"/>
        </w:rPr>
        <w:t>Re</w:t>
      </w:r>
      <w:r w:rsidR="00365BBB" w:rsidRPr="00365BBB">
        <w:rPr>
          <w:rFonts w:ascii="Palatino Linotype" w:hAnsi="Palatino Linotype" w:cs="Tahoma"/>
        </w:rPr>
        <w:t>solución que nos ocupa se requirió la entrega de</w:t>
      </w:r>
      <w:r w:rsidR="00AB3A4B">
        <w:rPr>
          <w:rFonts w:ascii="Palatino Linotype" w:hAnsi="Palatino Linotype" w:cs="Tahoma"/>
        </w:rPr>
        <w:t>:</w:t>
      </w:r>
    </w:p>
    <w:p w:rsidR="00365BBB" w:rsidRDefault="00365BBB" w:rsidP="006B7E49">
      <w:pPr>
        <w:spacing w:after="0" w:line="276" w:lineRule="auto"/>
        <w:jc w:val="both"/>
        <w:rPr>
          <w:rFonts w:ascii="Palatino Linotype" w:hAnsi="Palatino Linotype" w:cs="Tahoma"/>
          <w:sz w:val="24"/>
          <w:szCs w:val="24"/>
        </w:rPr>
      </w:pPr>
    </w:p>
    <w:p w:rsidR="00365BBB" w:rsidRPr="00365BBB" w:rsidRDefault="00E8609A" w:rsidP="006B7E49">
      <w:pPr>
        <w:spacing w:after="0" w:line="276" w:lineRule="auto"/>
        <w:ind w:left="567" w:right="567"/>
        <w:jc w:val="both"/>
        <w:rPr>
          <w:rFonts w:ascii="Palatino Linotype" w:hAnsi="Palatino Linotype" w:cs="Tahoma"/>
          <w:sz w:val="20"/>
          <w:szCs w:val="20"/>
        </w:rPr>
      </w:pPr>
      <w:r w:rsidRPr="00E8609A">
        <w:rPr>
          <w:rFonts w:ascii="Palatino Linotype" w:hAnsi="Palatino Linotype" w:cs="Tahoma"/>
          <w:sz w:val="20"/>
          <w:szCs w:val="20"/>
        </w:rPr>
        <w:t xml:space="preserve">“buenos días necesito saber el proceso de adjudicación del contrato de la prestación del servicio de cafetería a quien fue adjudicado el contrato así como los términos y tiempo de este con la documentación soporte como lo son todos y cada uno de sus respectivos </w:t>
      </w:r>
      <w:r>
        <w:rPr>
          <w:rFonts w:ascii="Palatino Linotype" w:hAnsi="Palatino Linotype" w:cs="Tahoma"/>
          <w:sz w:val="20"/>
          <w:szCs w:val="20"/>
        </w:rPr>
        <w:t>anexos de su adjudicación”</w:t>
      </w:r>
      <w:r w:rsidR="00365BBB" w:rsidRPr="00365BBB">
        <w:rPr>
          <w:rFonts w:ascii="Palatino Linotype" w:hAnsi="Palatino Linotype" w:cs="Tahoma"/>
          <w:sz w:val="20"/>
          <w:szCs w:val="20"/>
        </w:rPr>
        <w:t xml:space="preserve"> (</w:t>
      </w:r>
      <w:r w:rsidR="00101D49" w:rsidRPr="00101D49">
        <w:rPr>
          <w:rFonts w:ascii="Palatino Linotype" w:hAnsi="Palatino Linotype" w:cs="Tahoma"/>
          <w:i/>
          <w:sz w:val="20"/>
          <w:szCs w:val="20"/>
        </w:rPr>
        <w:t>S</w:t>
      </w:r>
      <w:r w:rsidR="00365BBB" w:rsidRPr="00101D49">
        <w:rPr>
          <w:rFonts w:ascii="Palatino Linotype" w:hAnsi="Palatino Linotype" w:cs="Tahoma"/>
          <w:i/>
          <w:sz w:val="20"/>
          <w:szCs w:val="20"/>
        </w:rPr>
        <w:t>ic</w:t>
      </w:r>
      <w:r w:rsidR="00101D49" w:rsidRPr="00101D49">
        <w:rPr>
          <w:rFonts w:ascii="Palatino Linotype" w:hAnsi="Palatino Linotype" w:cs="Tahoma"/>
          <w:i/>
          <w:sz w:val="20"/>
          <w:szCs w:val="20"/>
        </w:rPr>
        <w:t>.</w:t>
      </w:r>
      <w:r w:rsidR="00365BBB" w:rsidRPr="00365BBB">
        <w:rPr>
          <w:rFonts w:ascii="Palatino Linotype" w:hAnsi="Palatino Linotype" w:cs="Tahoma"/>
          <w:sz w:val="20"/>
          <w:szCs w:val="20"/>
        </w:rPr>
        <w:t>)</w:t>
      </w:r>
    </w:p>
    <w:p w:rsidR="00365BBB" w:rsidRDefault="00365BBB" w:rsidP="006B7E49">
      <w:pPr>
        <w:spacing w:after="0" w:line="276" w:lineRule="auto"/>
        <w:jc w:val="both"/>
        <w:rPr>
          <w:rFonts w:ascii="Palatino Linotype" w:hAnsi="Palatino Linotype" w:cs="Tahoma"/>
          <w:sz w:val="24"/>
          <w:szCs w:val="24"/>
        </w:rPr>
      </w:pPr>
    </w:p>
    <w:p w:rsidR="00E8609A" w:rsidRDefault="00AB3A4B" w:rsidP="006B7E49">
      <w:pPr>
        <w:spacing w:after="0" w:line="276" w:lineRule="auto"/>
        <w:jc w:val="both"/>
        <w:rPr>
          <w:rFonts w:ascii="Palatino Linotype" w:hAnsi="Palatino Linotype" w:cs="Tahoma"/>
        </w:rPr>
      </w:pPr>
      <w:r>
        <w:rPr>
          <w:rFonts w:ascii="Palatino Linotype" w:hAnsi="Palatino Linotype" w:cs="Tahoma"/>
        </w:rPr>
        <w:t>E</w:t>
      </w:r>
      <w:r w:rsidR="00E8609A">
        <w:rPr>
          <w:rFonts w:ascii="Palatino Linotype" w:hAnsi="Palatino Linotype" w:cs="Tahoma"/>
        </w:rPr>
        <w:t xml:space="preserve">n su </w:t>
      </w:r>
      <w:r>
        <w:rPr>
          <w:rFonts w:ascii="Palatino Linotype" w:hAnsi="Palatino Linotype" w:cs="Tahoma"/>
        </w:rPr>
        <w:t>respuesta, el Sujeto Obligado entregó diversos documentos</w:t>
      </w:r>
      <w:r w:rsidR="00E8609A">
        <w:rPr>
          <w:rFonts w:ascii="Palatino Linotype" w:hAnsi="Palatino Linotype" w:cs="Tahoma"/>
        </w:rPr>
        <w:t xml:space="preserve"> y el particular se inconformó por lo siguiente:</w:t>
      </w:r>
    </w:p>
    <w:p w:rsidR="00E8609A" w:rsidRDefault="00E8609A" w:rsidP="006B7E49">
      <w:pPr>
        <w:spacing w:after="0" w:line="276" w:lineRule="auto"/>
        <w:jc w:val="both"/>
        <w:rPr>
          <w:rFonts w:ascii="Palatino Linotype" w:hAnsi="Palatino Linotype" w:cs="Tahoma"/>
        </w:rPr>
      </w:pPr>
    </w:p>
    <w:p w:rsidR="00E8609A" w:rsidRDefault="00E8609A" w:rsidP="006B7E49">
      <w:pPr>
        <w:spacing w:after="0" w:line="276" w:lineRule="auto"/>
        <w:jc w:val="both"/>
        <w:rPr>
          <w:rFonts w:ascii="Palatino Linotype" w:hAnsi="Palatino Linotype" w:cs="Tahoma"/>
        </w:rPr>
      </w:pPr>
    </w:p>
    <w:p w:rsidR="00E8609A" w:rsidRPr="00E8609A" w:rsidRDefault="00E8609A" w:rsidP="006B7E49">
      <w:pPr>
        <w:spacing w:after="0" w:line="276" w:lineRule="auto"/>
        <w:ind w:left="567" w:right="567"/>
        <w:jc w:val="both"/>
        <w:rPr>
          <w:rFonts w:ascii="Palatino Linotype" w:hAnsi="Palatino Linotype" w:cs="Tahoma"/>
          <w:sz w:val="20"/>
          <w:szCs w:val="20"/>
        </w:rPr>
      </w:pPr>
      <w:r w:rsidRPr="00E8609A">
        <w:rPr>
          <w:rFonts w:ascii="Palatino Linotype" w:hAnsi="Palatino Linotype" w:cs="Tahoma"/>
          <w:sz w:val="20"/>
          <w:szCs w:val="20"/>
        </w:rPr>
        <w:t>“LA INFORMACIÓN SOLICITADA ES INCOMPLETA DEBIDO A QUE NO SE ANEXAN LAS CONVOCATORIAS DE LAS A CUANDO MENOS 4 OFERENTES PARA PODER SER UN ACTO LICITO, POR ELLO SE ESTA EN PRESENCIA DE POSIBLES ACTOS DE CORRUPCIÓN DENTRO DE ESA INSTITUCIÓN. POR LO CUAL SE INVITA A LAS AUTORIDADES COMPETENTES A INICIAR LOS TRAMITES PERTINENTES PARA UNA ACLARACIÓN DE DICHAS PRACTICAS AL INTERIOR DE ESA INSTITUCIÓN.” (</w:t>
      </w:r>
      <w:r w:rsidRPr="00E8609A">
        <w:rPr>
          <w:rFonts w:ascii="Palatino Linotype" w:hAnsi="Palatino Linotype" w:cs="Tahoma"/>
          <w:i/>
          <w:sz w:val="20"/>
          <w:szCs w:val="20"/>
        </w:rPr>
        <w:t>Sic.</w:t>
      </w:r>
      <w:r w:rsidRPr="00E8609A">
        <w:rPr>
          <w:rFonts w:ascii="Palatino Linotype" w:hAnsi="Palatino Linotype" w:cs="Tahoma"/>
          <w:sz w:val="20"/>
          <w:szCs w:val="20"/>
        </w:rPr>
        <w:t>)</w:t>
      </w:r>
    </w:p>
    <w:p w:rsidR="00E8609A" w:rsidRDefault="00E8609A" w:rsidP="006B7E49">
      <w:pPr>
        <w:spacing w:after="0" w:line="360" w:lineRule="auto"/>
        <w:ind w:right="567"/>
        <w:jc w:val="both"/>
        <w:rPr>
          <w:rFonts w:ascii="Palatino Linotype" w:hAnsi="Palatino Linotype" w:cs="Tahoma"/>
          <w:i/>
        </w:rPr>
      </w:pPr>
      <w:r>
        <w:rPr>
          <w:rFonts w:ascii="Palatino Linotype" w:hAnsi="Palatino Linotype" w:cs="Tahoma"/>
        </w:rPr>
        <w:lastRenderedPageBreak/>
        <w:t xml:space="preserve">Como parte de la </w:t>
      </w:r>
      <w:r w:rsidR="003C1545">
        <w:rPr>
          <w:rFonts w:ascii="Palatino Linotype" w:hAnsi="Palatino Linotype" w:cs="Tahoma"/>
        </w:rPr>
        <w:t>R</w:t>
      </w:r>
      <w:r>
        <w:rPr>
          <w:rFonts w:ascii="Palatino Linotype" w:hAnsi="Palatino Linotype" w:cs="Tahoma"/>
        </w:rPr>
        <w:t>esolución</w:t>
      </w:r>
      <w:r w:rsidR="003C1545">
        <w:rPr>
          <w:rFonts w:ascii="Palatino Linotype" w:hAnsi="Palatino Linotype" w:cs="Tahoma"/>
        </w:rPr>
        <w:t xml:space="preserve"> se analiza la naturaleza de lo solicitado y se determina que procede la entrega de </w:t>
      </w:r>
      <w:r w:rsidR="003C1545" w:rsidRPr="003C1545">
        <w:rPr>
          <w:rFonts w:ascii="Palatino Linotype" w:hAnsi="Palatino Linotype" w:cs="Tahoma"/>
          <w:i/>
        </w:rPr>
        <w:t>“</w:t>
      </w:r>
      <w:r w:rsidR="003C1545" w:rsidRPr="003C1545">
        <w:rPr>
          <w:rFonts w:ascii="Palatino Linotype" w:hAnsi="Palatino Linotype" w:cs="Tahoma"/>
          <w:i/>
        </w:rPr>
        <w:t>Las invitaciones para participar en el procedimiento de adjudicación directa, número TESJI/CAS/</w:t>
      </w:r>
      <w:proofErr w:type="spellStart"/>
      <w:r w:rsidR="003C1545" w:rsidRPr="003C1545">
        <w:rPr>
          <w:rFonts w:ascii="Palatino Linotype" w:hAnsi="Palatino Linotype" w:cs="Tahoma"/>
          <w:i/>
        </w:rPr>
        <w:t>LCPEMyM</w:t>
      </w:r>
      <w:proofErr w:type="spellEnd"/>
      <w:r w:rsidR="003C1545" w:rsidRPr="003C1545">
        <w:rPr>
          <w:rFonts w:ascii="Palatino Linotype" w:hAnsi="Palatino Linotype" w:cs="Tahoma"/>
          <w:i/>
        </w:rPr>
        <w:t>/AD/004/2018.</w:t>
      </w:r>
      <w:r w:rsidR="003C1545" w:rsidRPr="003C1545">
        <w:rPr>
          <w:rFonts w:ascii="Palatino Linotype" w:hAnsi="Palatino Linotype" w:cs="Tahoma"/>
          <w:i/>
        </w:rPr>
        <w:t>”</w:t>
      </w:r>
      <w:r w:rsidR="003C1545">
        <w:rPr>
          <w:rFonts w:ascii="Palatino Linotype" w:hAnsi="Palatino Linotype" w:cs="Tahoma"/>
        </w:rPr>
        <w:t xml:space="preserve"> Asimismo, dichos documentos deberán ser entregados en versión pública por lo que “</w:t>
      </w:r>
      <w:r w:rsidR="003C1545" w:rsidRPr="003C1545">
        <w:rPr>
          <w:rFonts w:ascii="Palatino Linotype" w:hAnsi="Palatino Linotype" w:cs="Tahoma"/>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Recurrente.</w:t>
      </w:r>
      <w:r w:rsidR="003C1545">
        <w:rPr>
          <w:rFonts w:ascii="Palatino Linotype" w:hAnsi="Palatino Linotype" w:cs="Tahoma"/>
          <w:i/>
        </w:rPr>
        <w:t>”</w:t>
      </w:r>
    </w:p>
    <w:p w:rsidR="00B5735F" w:rsidRDefault="00B5735F" w:rsidP="006B7E49">
      <w:pPr>
        <w:spacing w:after="0" w:line="360" w:lineRule="auto"/>
        <w:ind w:right="567"/>
        <w:jc w:val="both"/>
        <w:rPr>
          <w:rFonts w:ascii="Palatino Linotype" w:hAnsi="Palatino Linotype" w:cs="Tahoma"/>
        </w:rPr>
      </w:pPr>
    </w:p>
    <w:p w:rsidR="003C1545" w:rsidRDefault="003C1545" w:rsidP="006B7E49">
      <w:pPr>
        <w:spacing w:after="0" w:line="360" w:lineRule="auto"/>
        <w:ind w:right="567"/>
        <w:jc w:val="both"/>
        <w:rPr>
          <w:rFonts w:ascii="Palatino Linotype" w:hAnsi="Palatino Linotype" w:cs="Tahoma"/>
          <w:i/>
        </w:rPr>
      </w:pPr>
      <w:r>
        <w:rPr>
          <w:rFonts w:ascii="Palatino Linotype" w:hAnsi="Palatino Linotype" w:cs="Tahoma"/>
        </w:rPr>
        <w:t xml:space="preserve">Es de precisar que como parte de la información que se debe eliminar la Ponencia Resolutora incluye el nombre de aquellos participantes que no resultaron ganadores, bajo el argumento de que </w:t>
      </w:r>
      <w:r w:rsidRPr="003C1545">
        <w:rPr>
          <w:rFonts w:ascii="Palatino Linotype" w:hAnsi="Palatino Linotype" w:cs="Tahoma"/>
          <w:i/>
        </w:rPr>
        <w:t>“ha sido criterio de esta Ponencia salvaguardar el nombre de las personas físicas o morales a las que no se ha adjudicado contratos, al no existir una obligación relativa a la rendición de cuentas ante la ausencia de gasto público.”</w:t>
      </w:r>
    </w:p>
    <w:p w:rsidR="00B5735F" w:rsidRPr="003C1545" w:rsidRDefault="00B5735F" w:rsidP="006B7E49">
      <w:pPr>
        <w:spacing w:after="0" w:line="360" w:lineRule="auto"/>
        <w:ind w:right="567"/>
        <w:jc w:val="both"/>
        <w:rPr>
          <w:rFonts w:ascii="Palatino Linotype" w:hAnsi="Palatino Linotype" w:cs="Tahoma"/>
          <w:i/>
        </w:rPr>
      </w:pPr>
    </w:p>
    <w:p w:rsidR="003C1545" w:rsidRDefault="003C1545" w:rsidP="006B7E49">
      <w:pPr>
        <w:spacing w:after="0" w:line="360" w:lineRule="auto"/>
        <w:ind w:right="567"/>
        <w:jc w:val="both"/>
        <w:rPr>
          <w:rFonts w:ascii="Palatino Linotype" w:hAnsi="Palatino Linotype" w:cs="Tahoma"/>
        </w:rPr>
      </w:pPr>
      <w:r>
        <w:rPr>
          <w:rFonts w:ascii="Palatino Linotype" w:hAnsi="Palatino Linotype" w:cs="Tahoma"/>
        </w:rPr>
        <w:t>De tal suerte, la emisión del presente Voto Particular, radica en no compartir la determinación de la Ponencia Resolutora</w:t>
      </w:r>
      <w:r w:rsidR="00383084">
        <w:rPr>
          <w:rFonts w:ascii="Palatino Linotype" w:hAnsi="Palatino Linotype" w:cs="Tahoma"/>
        </w:rPr>
        <w:t>, respecto</w:t>
      </w:r>
      <w:r>
        <w:rPr>
          <w:rFonts w:ascii="Palatino Linotype" w:hAnsi="Palatino Linotype" w:cs="Tahoma"/>
        </w:rPr>
        <w:t xml:space="preserve"> de </w:t>
      </w:r>
      <w:r w:rsidR="00B5735F">
        <w:rPr>
          <w:rFonts w:ascii="Palatino Linotype" w:hAnsi="Palatino Linotype" w:cs="Tahoma"/>
        </w:rPr>
        <w:t>considerar</w:t>
      </w:r>
      <w:r>
        <w:rPr>
          <w:rFonts w:ascii="Palatino Linotype" w:hAnsi="Palatino Linotype" w:cs="Tahoma"/>
        </w:rPr>
        <w:t xml:space="preserve"> que la información sobre el nombre de los participantes en los procesos de adjudicación deba ser  clasificado, pues como </w:t>
      </w:r>
      <w:r w:rsidR="00383084">
        <w:rPr>
          <w:rFonts w:ascii="Palatino Linotype" w:hAnsi="Palatino Linotype" w:cs="Tahoma"/>
        </w:rPr>
        <w:t>se refirió en la Resolución que nos ocupa</w:t>
      </w:r>
      <w:r>
        <w:rPr>
          <w:rFonts w:ascii="Palatino Linotype" w:hAnsi="Palatino Linotype" w:cs="Tahoma"/>
        </w:rPr>
        <w:t>, esta información forma parte de las Obligaciones de Transparencia.</w:t>
      </w:r>
    </w:p>
    <w:p w:rsidR="00383084" w:rsidRDefault="00383084" w:rsidP="006B7E49">
      <w:pPr>
        <w:spacing w:after="0" w:line="360" w:lineRule="auto"/>
        <w:ind w:right="567"/>
        <w:jc w:val="both"/>
        <w:rPr>
          <w:rFonts w:ascii="Palatino Linotype" w:hAnsi="Palatino Linotype" w:cs="Tahoma"/>
        </w:rPr>
      </w:pPr>
    </w:p>
    <w:p w:rsidR="005D194B" w:rsidRDefault="005D194B" w:rsidP="006B7E49">
      <w:pPr>
        <w:spacing w:after="0" w:line="360" w:lineRule="auto"/>
        <w:ind w:right="567"/>
        <w:jc w:val="both"/>
        <w:rPr>
          <w:rFonts w:ascii="Palatino Linotype" w:hAnsi="Palatino Linotype" w:cs="Arial"/>
        </w:rPr>
      </w:pPr>
      <w:r>
        <w:rPr>
          <w:rFonts w:ascii="Palatino Linotype" w:hAnsi="Palatino Linotype" w:cs="Tahoma"/>
        </w:rPr>
        <w:t xml:space="preserve">En efecto, el artículo 92, fracción, </w:t>
      </w:r>
      <w:r w:rsidR="003C1545">
        <w:rPr>
          <w:rFonts w:ascii="Palatino Linotype" w:hAnsi="Palatino Linotype" w:cs="Arial"/>
        </w:rPr>
        <w:t>fracción XXIX</w:t>
      </w:r>
      <w:r>
        <w:rPr>
          <w:rFonts w:ascii="Palatino Linotype" w:hAnsi="Palatino Linotype" w:cs="Arial"/>
        </w:rPr>
        <w:t>,</w:t>
      </w:r>
      <w:r w:rsidR="003C1545">
        <w:rPr>
          <w:rFonts w:ascii="Palatino Linotype" w:hAnsi="Palatino Linotype" w:cs="Arial"/>
        </w:rPr>
        <w:t xml:space="preserve"> de la Ley de Transparencia y Acceso a la Información Pública del Estado de México y Municipios, establece que la información sobre los procesos y resultados sobre procedimientos de adjudicación directa, invitación restringida y licitación de cualquier naturaleza, </w:t>
      </w:r>
      <w:r>
        <w:rPr>
          <w:rFonts w:ascii="Palatino Linotype" w:hAnsi="Palatino Linotype" w:cs="Arial"/>
        </w:rPr>
        <w:t xml:space="preserve">se </w:t>
      </w:r>
      <w:r w:rsidR="003C1545">
        <w:rPr>
          <w:rFonts w:ascii="Palatino Linotype" w:hAnsi="Palatino Linotype" w:cs="Arial"/>
        </w:rPr>
        <w:t xml:space="preserve">deberá </w:t>
      </w:r>
      <w:r>
        <w:rPr>
          <w:rFonts w:ascii="Palatino Linotype" w:hAnsi="Palatino Linotype" w:cs="Arial"/>
        </w:rPr>
        <w:t xml:space="preserve">poner </w:t>
      </w:r>
      <w:r w:rsidR="003C1545">
        <w:rPr>
          <w:rFonts w:ascii="Palatino Linotype" w:hAnsi="Palatino Linotype" w:cs="Arial"/>
        </w:rPr>
        <w:t xml:space="preserve">a </w:t>
      </w:r>
      <w:r w:rsidR="003C1545">
        <w:rPr>
          <w:rFonts w:ascii="Palatino Linotype" w:hAnsi="Palatino Linotype" w:cs="Arial"/>
        </w:rPr>
        <w:lastRenderedPageBreak/>
        <w:t>disposición del público de manera permanente y actualizada en forma sencilla, precisa y entendible en los respectivos medios electrónicos, de acuerdo con sus facultades, atribuciones, funciones u objeto social</w:t>
      </w:r>
      <w:r>
        <w:rPr>
          <w:rFonts w:ascii="Palatino Linotype" w:hAnsi="Palatino Linotype" w:cs="Arial"/>
        </w:rPr>
        <w:t>.</w:t>
      </w:r>
    </w:p>
    <w:p w:rsidR="00B5735F" w:rsidRDefault="00B5735F" w:rsidP="006B7E49">
      <w:pPr>
        <w:spacing w:after="0" w:line="360" w:lineRule="auto"/>
        <w:ind w:right="567"/>
        <w:jc w:val="both"/>
        <w:rPr>
          <w:rFonts w:ascii="Palatino Linotype" w:hAnsi="Palatino Linotype" w:cs="Arial"/>
        </w:rPr>
      </w:pPr>
    </w:p>
    <w:p w:rsidR="005D194B" w:rsidRDefault="005D194B" w:rsidP="006B7E49">
      <w:pPr>
        <w:spacing w:after="0" w:line="360" w:lineRule="auto"/>
        <w:ind w:right="567"/>
        <w:jc w:val="both"/>
        <w:rPr>
          <w:rFonts w:ascii="Palatino Linotype" w:hAnsi="Palatino Linotype" w:cs="Arial"/>
        </w:rPr>
      </w:pPr>
      <w:r>
        <w:rPr>
          <w:rFonts w:ascii="Palatino Linotype" w:hAnsi="Palatino Linotype" w:cs="Arial"/>
        </w:rPr>
        <w:t>De manera particular precisa que esta información se debe publicar junto con la versión pública del expediente respectivo y los contratos que deberán contener por lo menos lo siguiente:</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a) De licitaciones públicas o procedimientos de invitación restringida:</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1) La convocatoria o invitación emitida, así como los fundamentos legales</w:t>
      </w:r>
      <w:r>
        <w:rPr>
          <w:rFonts w:ascii="Palatino Linotype" w:hAnsi="Palatino Linotype" w:cs="Arial"/>
          <w:sz w:val="20"/>
          <w:szCs w:val="20"/>
        </w:rPr>
        <w:t xml:space="preserve"> </w:t>
      </w:r>
      <w:r w:rsidRPr="005D194B">
        <w:rPr>
          <w:rFonts w:ascii="Palatino Linotype" w:hAnsi="Palatino Linotype" w:cs="Arial"/>
          <w:sz w:val="20"/>
          <w:szCs w:val="20"/>
        </w:rPr>
        <w:t>aplicados para llevarla a cabo;</w:t>
      </w:r>
    </w:p>
    <w:p w:rsidR="005D194B" w:rsidRPr="00E0116A" w:rsidRDefault="005D194B" w:rsidP="006B7E49">
      <w:pPr>
        <w:spacing w:after="0" w:line="360" w:lineRule="auto"/>
        <w:ind w:left="567" w:right="567"/>
        <w:jc w:val="both"/>
        <w:rPr>
          <w:rFonts w:ascii="Palatino Linotype" w:hAnsi="Palatino Linotype" w:cs="Arial"/>
          <w:b/>
          <w:sz w:val="20"/>
          <w:szCs w:val="20"/>
          <w:u w:val="single"/>
        </w:rPr>
      </w:pPr>
      <w:r w:rsidRPr="00E0116A">
        <w:rPr>
          <w:rFonts w:ascii="Palatino Linotype" w:hAnsi="Palatino Linotype" w:cs="Arial"/>
          <w:b/>
          <w:sz w:val="20"/>
          <w:szCs w:val="20"/>
          <w:u w:val="single"/>
        </w:rPr>
        <w:t>2) Los nombres de los participantes o invitados;</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3) El nombre del ganador y las razones que lo justifican;</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4) El área solicitante y la responsable de su ejecución;</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5) Las convocatorias e invitaciones emitidas;</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6) Los dictámenes y fallo de adjudicación;</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7) El contrato y, en su caso, sus anexos;</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8) Los mecanismos de vigilancia y supervisión, incluyendo en su caso, los</w:t>
      </w:r>
      <w:r>
        <w:rPr>
          <w:rFonts w:ascii="Palatino Linotype" w:hAnsi="Palatino Linotype" w:cs="Arial"/>
          <w:sz w:val="20"/>
          <w:szCs w:val="20"/>
        </w:rPr>
        <w:t xml:space="preserve"> </w:t>
      </w:r>
      <w:r w:rsidRPr="005D194B">
        <w:rPr>
          <w:rFonts w:ascii="Palatino Linotype" w:hAnsi="Palatino Linotype" w:cs="Arial"/>
          <w:sz w:val="20"/>
          <w:szCs w:val="20"/>
        </w:rPr>
        <w:t>estudios de impacto urbano y ambiental, según corresponda;</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9) La partida presupuestal, de conformidad con el clasificador por objeto del</w:t>
      </w:r>
      <w:r>
        <w:rPr>
          <w:rFonts w:ascii="Palatino Linotype" w:hAnsi="Palatino Linotype" w:cs="Arial"/>
          <w:sz w:val="20"/>
          <w:szCs w:val="20"/>
        </w:rPr>
        <w:t xml:space="preserve"> </w:t>
      </w:r>
      <w:r w:rsidRPr="005D194B">
        <w:rPr>
          <w:rFonts w:ascii="Palatino Linotype" w:hAnsi="Palatino Linotype" w:cs="Arial"/>
          <w:sz w:val="20"/>
          <w:szCs w:val="20"/>
        </w:rPr>
        <w:t>gasto, en el caso de ser aplicable;</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10) Origen de los recursos especificando si son federales, estatales o</w:t>
      </w:r>
      <w:r w:rsidRPr="005D194B">
        <w:rPr>
          <w:rFonts w:ascii="Palatino Linotype" w:hAnsi="Palatino Linotype" w:cs="Arial"/>
          <w:sz w:val="20"/>
          <w:szCs w:val="20"/>
        </w:rPr>
        <w:t xml:space="preserve"> </w:t>
      </w:r>
      <w:r w:rsidRPr="005D194B">
        <w:rPr>
          <w:rFonts w:ascii="Palatino Linotype" w:hAnsi="Palatino Linotype" w:cs="Arial"/>
          <w:sz w:val="20"/>
          <w:szCs w:val="20"/>
        </w:rPr>
        <w:t>municipales, así como el tipo de fondo de participación o aportación</w:t>
      </w:r>
      <w:r w:rsidRPr="005D194B">
        <w:rPr>
          <w:rFonts w:ascii="Palatino Linotype" w:hAnsi="Palatino Linotype" w:cs="Arial"/>
          <w:sz w:val="20"/>
          <w:szCs w:val="20"/>
        </w:rPr>
        <w:t xml:space="preserve"> </w:t>
      </w:r>
      <w:r w:rsidRPr="005D194B">
        <w:rPr>
          <w:rFonts w:ascii="Palatino Linotype" w:hAnsi="Palatino Linotype" w:cs="Arial"/>
          <w:sz w:val="20"/>
          <w:szCs w:val="20"/>
        </w:rPr>
        <w:t>respectiva;</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11) Los convenios modificatorios que, en su caso, sean firmados, precisando el</w:t>
      </w:r>
      <w:r w:rsidRPr="005D194B">
        <w:rPr>
          <w:rFonts w:ascii="Palatino Linotype" w:hAnsi="Palatino Linotype" w:cs="Arial"/>
          <w:sz w:val="20"/>
          <w:szCs w:val="20"/>
        </w:rPr>
        <w:t xml:space="preserve"> </w:t>
      </w:r>
      <w:r w:rsidRPr="005D194B">
        <w:rPr>
          <w:rFonts w:ascii="Palatino Linotype" w:hAnsi="Palatino Linotype" w:cs="Arial"/>
          <w:sz w:val="20"/>
          <w:szCs w:val="20"/>
        </w:rPr>
        <w:t>objeto y la fecha de celebración;</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12) Los informes de avance físico y financiero sobre las obras o servicios</w:t>
      </w:r>
      <w:r w:rsidRPr="005D194B">
        <w:rPr>
          <w:rFonts w:ascii="Palatino Linotype" w:hAnsi="Palatino Linotype" w:cs="Arial"/>
          <w:sz w:val="20"/>
          <w:szCs w:val="20"/>
        </w:rPr>
        <w:t xml:space="preserve"> </w:t>
      </w:r>
      <w:r w:rsidRPr="005D194B">
        <w:rPr>
          <w:rFonts w:ascii="Palatino Linotype" w:hAnsi="Palatino Linotype" w:cs="Arial"/>
          <w:sz w:val="20"/>
          <w:szCs w:val="20"/>
        </w:rPr>
        <w:t>contratados;</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13) El convenio de terminación; y</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14) El finiquito.</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lastRenderedPageBreak/>
        <w:t>b) De las adjudicaciones directas:</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1) La propuesta enviada por el participante;</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2) Los motivos y fundamentos legales aplicados para llevarla a cabo;</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3) La autorización del ejercicio de la opción;</w:t>
      </w:r>
    </w:p>
    <w:p w:rsidR="005D194B" w:rsidRPr="00E0116A" w:rsidRDefault="005D194B" w:rsidP="006B7E49">
      <w:pPr>
        <w:spacing w:after="0" w:line="360" w:lineRule="auto"/>
        <w:ind w:left="567" w:right="567"/>
        <w:jc w:val="both"/>
        <w:rPr>
          <w:rFonts w:ascii="Palatino Linotype" w:hAnsi="Palatino Linotype" w:cs="Arial"/>
          <w:b/>
          <w:sz w:val="20"/>
          <w:szCs w:val="20"/>
          <w:u w:val="single"/>
        </w:rPr>
      </w:pPr>
      <w:r w:rsidRPr="00E0116A">
        <w:rPr>
          <w:rFonts w:ascii="Palatino Linotype" w:hAnsi="Palatino Linotype" w:cs="Arial"/>
          <w:b/>
          <w:sz w:val="20"/>
          <w:szCs w:val="20"/>
          <w:u w:val="single"/>
        </w:rPr>
        <w:t>4) En su caso, las cotizaciones consideradas, especificando los nombres de los</w:t>
      </w:r>
      <w:r w:rsidRPr="00E0116A">
        <w:rPr>
          <w:rFonts w:ascii="Palatino Linotype" w:hAnsi="Palatino Linotype" w:cs="Arial"/>
          <w:b/>
          <w:sz w:val="20"/>
          <w:szCs w:val="20"/>
          <w:u w:val="single"/>
        </w:rPr>
        <w:t xml:space="preserve"> </w:t>
      </w:r>
      <w:r w:rsidRPr="00E0116A">
        <w:rPr>
          <w:rFonts w:ascii="Palatino Linotype" w:hAnsi="Palatino Linotype" w:cs="Arial"/>
          <w:b/>
          <w:sz w:val="20"/>
          <w:szCs w:val="20"/>
          <w:u w:val="single"/>
        </w:rPr>
        <w:t>proveedores y sus montos;</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5) El nombre de la persona física o jurídica colectiva adjudicada;</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6) La unidad administrativa solicitante y la responsable de su ejecución;</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7) El número, fecha, el monto del contrato y el plazo de entrega o de ejecución</w:t>
      </w:r>
      <w:r w:rsidRPr="005D194B">
        <w:rPr>
          <w:rFonts w:ascii="Palatino Linotype" w:hAnsi="Palatino Linotype" w:cs="Arial"/>
          <w:sz w:val="20"/>
          <w:szCs w:val="20"/>
        </w:rPr>
        <w:t xml:space="preserve"> </w:t>
      </w:r>
      <w:r w:rsidRPr="005D194B">
        <w:rPr>
          <w:rFonts w:ascii="Palatino Linotype" w:hAnsi="Palatino Linotype" w:cs="Arial"/>
          <w:sz w:val="20"/>
          <w:szCs w:val="20"/>
        </w:rPr>
        <w:t>de los servicios u obra;</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8) Los mecanismos de vigilancia y supervisión, incluyendo, en su caso, los</w:t>
      </w:r>
      <w:r w:rsidRPr="005D194B">
        <w:rPr>
          <w:rFonts w:ascii="Palatino Linotype" w:hAnsi="Palatino Linotype" w:cs="Arial"/>
          <w:sz w:val="20"/>
          <w:szCs w:val="20"/>
        </w:rPr>
        <w:t xml:space="preserve"> </w:t>
      </w:r>
      <w:r w:rsidRPr="005D194B">
        <w:rPr>
          <w:rFonts w:ascii="Palatino Linotype" w:hAnsi="Palatino Linotype" w:cs="Arial"/>
          <w:sz w:val="20"/>
          <w:szCs w:val="20"/>
        </w:rPr>
        <w:t>estudios de impacto urbano y ambiental, según corresponda;</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9) Los informes de avance sobre las obras o servicios contratados;</w:t>
      </w:r>
    </w:p>
    <w:p w:rsidR="005D194B" w:rsidRP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10) El convenio de terminación; y</w:t>
      </w:r>
    </w:p>
    <w:p w:rsidR="005D194B" w:rsidRDefault="005D194B" w:rsidP="006B7E49">
      <w:pPr>
        <w:spacing w:after="0" w:line="360" w:lineRule="auto"/>
        <w:ind w:left="567" w:right="567"/>
        <w:jc w:val="both"/>
        <w:rPr>
          <w:rFonts w:ascii="Palatino Linotype" w:hAnsi="Palatino Linotype" w:cs="Arial"/>
          <w:sz w:val="20"/>
          <w:szCs w:val="20"/>
        </w:rPr>
      </w:pPr>
      <w:r w:rsidRPr="005D194B">
        <w:rPr>
          <w:rFonts w:ascii="Palatino Linotype" w:hAnsi="Palatino Linotype" w:cs="Arial"/>
          <w:sz w:val="20"/>
          <w:szCs w:val="20"/>
        </w:rPr>
        <w:t>11) El finiquito.</w:t>
      </w:r>
    </w:p>
    <w:p w:rsidR="00E0116A" w:rsidRPr="005D194B" w:rsidRDefault="00E0116A" w:rsidP="006B7E49">
      <w:pPr>
        <w:spacing w:after="0" w:line="360" w:lineRule="auto"/>
        <w:ind w:left="567" w:right="567"/>
        <w:jc w:val="both"/>
        <w:rPr>
          <w:rFonts w:ascii="Palatino Linotype" w:hAnsi="Palatino Linotype" w:cs="Arial"/>
          <w:sz w:val="20"/>
          <w:szCs w:val="20"/>
        </w:rPr>
      </w:pPr>
      <w:r>
        <w:rPr>
          <w:rFonts w:ascii="Palatino Linotype" w:hAnsi="Palatino Linotype" w:cs="Arial"/>
          <w:sz w:val="20"/>
          <w:szCs w:val="20"/>
        </w:rPr>
        <w:t>(Énfasis añadido)</w:t>
      </w:r>
    </w:p>
    <w:p w:rsidR="00B5735F" w:rsidRDefault="00B5735F" w:rsidP="006B7E49">
      <w:pPr>
        <w:spacing w:after="0" w:line="360" w:lineRule="auto"/>
        <w:jc w:val="both"/>
        <w:rPr>
          <w:rFonts w:ascii="Palatino Linotype" w:hAnsi="Palatino Linotype" w:cs="Arial"/>
        </w:rPr>
      </w:pPr>
    </w:p>
    <w:p w:rsidR="00D72F67" w:rsidRDefault="00E0116A" w:rsidP="006B7E49">
      <w:pPr>
        <w:spacing w:after="0" w:line="360" w:lineRule="auto"/>
        <w:jc w:val="both"/>
        <w:rPr>
          <w:rFonts w:ascii="Palatino Linotype" w:hAnsi="Palatino Linotype" w:cs="Arial"/>
        </w:rPr>
      </w:pPr>
      <w:r>
        <w:rPr>
          <w:rFonts w:ascii="Palatino Linotype" w:hAnsi="Palatino Linotype" w:cs="Arial"/>
        </w:rPr>
        <w:t xml:space="preserve">Como se advierte de lo anterior, tanto en licitaciones públicas como en invitaciones restringidas, </w:t>
      </w:r>
      <w:r w:rsidR="00CF685E">
        <w:rPr>
          <w:rFonts w:ascii="Palatino Linotype" w:hAnsi="Palatino Linotype" w:cs="Arial"/>
        </w:rPr>
        <w:t>constituyen</w:t>
      </w:r>
      <w:r>
        <w:rPr>
          <w:rFonts w:ascii="Palatino Linotype" w:hAnsi="Palatino Linotype" w:cs="Arial"/>
        </w:rPr>
        <w:t xml:space="preserve"> información pública de oficio </w:t>
      </w:r>
      <w:r w:rsidRPr="00E0116A">
        <w:rPr>
          <w:rFonts w:ascii="Palatino Linotype" w:hAnsi="Palatino Linotype" w:cs="Arial"/>
          <w:b/>
        </w:rPr>
        <w:t>los nombres de los participantes o invitados;</w:t>
      </w:r>
      <w:r w:rsidR="00D72F67">
        <w:rPr>
          <w:rFonts w:ascii="Palatino Linotype" w:hAnsi="Palatino Linotype" w:cs="Arial"/>
          <w:b/>
        </w:rPr>
        <w:t xml:space="preserve"> </w:t>
      </w:r>
      <w:r w:rsidR="00D72F67" w:rsidRPr="00D72F67">
        <w:rPr>
          <w:rFonts w:ascii="Palatino Linotype" w:hAnsi="Palatino Linotype" w:cs="Arial"/>
        </w:rPr>
        <w:t>incluso en las i</w:t>
      </w:r>
      <w:r w:rsidR="00D72F67">
        <w:rPr>
          <w:rFonts w:ascii="Palatino Linotype" w:hAnsi="Palatino Linotype" w:cs="Arial"/>
        </w:rPr>
        <w:t>n</w:t>
      </w:r>
      <w:r w:rsidR="00D72F67" w:rsidRPr="00D72F67">
        <w:rPr>
          <w:rFonts w:ascii="Palatino Linotype" w:hAnsi="Palatino Linotype" w:cs="Arial"/>
        </w:rPr>
        <w:t xml:space="preserve">vitaciones restringidas </w:t>
      </w:r>
      <w:r w:rsidR="00D72F67">
        <w:rPr>
          <w:rFonts w:ascii="Palatino Linotype" w:hAnsi="Palatino Linotype" w:cs="Arial"/>
        </w:rPr>
        <w:t>se considera público no sólo el nombre de los proveedores invitados, sino las</w:t>
      </w:r>
      <w:r w:rsidR="00D72F67" w:rsidRPr="00D72F67">
        <w:rPr>
          <w:rFonts w:ascii="Palatino Linotype" w:hAnsi="Palatino Linotype" w:cs="Arial"/>
        </w:rPr>
        <w:t xml:space="preserve"> cotizaciones conside</w:t>
      </w:r>
      <w:r w:rsidR="00D72F67">
        <w:rPr>
          <w:rFonts w:ascii="Palatino Linotype" w:hAnsi="Palatino Linotype" w:cs="Arial"/>
        </w:rPr>
        <w:t>radas, de tal suerte que apegados al principio de máxima publicidad que rige el actuar de este Órgano Garante, no debe interpretarse el artículo en comento, en el sentido de que el nombre de proveedores debe ser clasificado por no haberles sido adjudicado el contrato.</w:t>
      </w:r>
    </w:p>
    <w:p w:rsidR="001909C3" w:rsidRDefault="001909C3" w:rsidP="006B7E49">
      <w:pPr>
        <w:spacing w:after="0" w:line="360" w:lineRule="auto"/>
        <w:jc w:val="both"/>
        <w:rPr>
          <w:rFonts w:ascii="Palatino Linotype" w:hAnsi="Palatino Linotype" w:cs="Arial"/>
        </w:rPr>
      </w:pPr>
    </w:p>
    <w:p w:rsidR="00D72F67" w:rsidRDefault="00CF685E" w:rsidP="006B7E49">
      <w:pPr>
        <w:spacing w:after="0" w:line="360" w:lineRule="auto"/>
        <w:jc w:val="both"/>
        <w:rPr>
          <w:rFonts w:ascii="Palatino Linotype" w:hAnsi="Palatino Linotype" w:cs="Arial"/>
        </w:rPr>
      </w:pPr>
      <w:r>
        <w:rPr>
          <w:rFonts w:ascii="Palatino Linotype" w:hAnsi="Palatino Linotype" w:cs="Arial"/>
        </w:rPr>
        <w:t xml:space="preserve">La información que de manera particular fue desglosada en el artículo en cita sobre la publicidad de los expedientes de licitaciones e invitaciones restringidas, se deben valorar </w:t>
      </w:r>
      <w:r>
        <w:rPr>
          <w:rFonts w:ascii="Palatino Linotype" w:hAnsi="Palatino Linotype" w:cs="Arial"/>
        </w:rPr>
        <w:lastRenderedPageBreak/>
        <w:t xml:space="preserve">como </w:t>
      </w:r>
      <w:r w:rsidR="00D72F67">
        <w:rPr>
          <w:rFonts w:ascii="Palatino Linotype" w:hAnsi="Palatino Linotype" w:cs="Arial"/>
        </w:rPr>
        <w:t>elementos que abona</w:t>
      </w:r>
      <w:r>
        <w:rPr>
          <w:rFonts w:ascii="Palatino Linotype" w:hAnsi="Palatino Linotype" w:cs="Arial"/>
        </w:rPr>
        <w:t>n</w:t>
      </w:r>
      <w:r w:rsidR="00D72F67">
        <w:rPr>
          <w:rFonts w:ascii="Palatino Linotype" w:hAnsi="Palatino Linotype" w:cs="Arial"/>
        </w:rPr>
        <w:t xml:space="preserve"> a la transparencia y rendición de cuentas, motivo por el cual estoy a favor de determinar que el nombre de aquellos proveedores que no fueron adjudicados sea pública, </w:t>
      </w:r>
      <w:r>
        <w:rPr>
          <w:rFonts w:ascii="Palatino Linotype" w:hAnsi="Palatino Linotype" w:cs="Arial"/>
        </w:rPr>
        <w:t>ya que</w:t>
      </w:r>
      <w:r w:rsidR="00D72F67">
        <w:rPr>
          <w:rFonts w:ascii="Palatino Linotype" w:hAnsi="Palatino Linotype" w:cs="Arial"/>
        </w:rPr>
        <w:t xml:space="preserve"> justamente que conocer a los involucrados en el concurso de licitación o invitación restringida aporta elementos de convicción, respecto de la determinación del Sujeto Obligado, en virtud de que el nombre de los participantes también</w:t>
      </w:r>
      <w:r w:rsidR="001909C3">
        <w:rPr>
          <w:rFonts w:ascii="Palatino Linotype" w:hAnsi="Palatino Linotype" w:cs="Arial"/>
        </w:rPr>
        <w:t>, en algunos casos</w:t>
      </w:r>
      <w:r w:rsidR="00D72F67">
        <w:rPr>
          <w:rFonts w:ascii="Palatino Linotype" w:hAnsi="Palatino Linotype" w:cs="Arial"/>
        </w:rPr>
        <w:t xml:space="preserve"> los puede vincular con sus marcas</w:t>
      </w:r>
      <w:r w:rsidR="001909C3">
        <w:rPr>
          <w:rFonts w:ascii="Palatino Linotype" w:hAnsi="Palatino Linotype" w:cs="Arial"/>
        </w:rPr>
        <w:t>,</w:t>
      </w:r>
      <w:r w:rsidR="00D72F67">
        <w:rPr>
          <w:rFonts w:ascii="Palatino Linotype" w:hAnsi="Palatino Linotype" w:cs="Arial"/>
        </w:rPr>
        <w:t xml:space="preserve"> calidades</w:t>
      </w:r>
      <w:r w:rsidR="001909C3">
        <w:rPr>
          <w:rFonts w:ascii="Palatino Linotype" w:hAnsi="Palatino Linotype" w:cs="Arial"/>
        </w:rPr>
        <w:t>, experiencia en el mercado, etc. y,</w:t>
      </w:r>
      <w:r w:rsidR="00D72F67">
        <w:rPr>
          <w:rFonts w:ascii="Palatino Linotype" w:hAnsi="Palatino Linotype" w:cs="Arial"/>
        </w:rPr>
        <w:t xml:space="preserve"> si bien, no gozarán de prestar sus servicios a la institución pública, por lo que no recibirán un pago que provenga de recursos públicos; también es cierto que al </w:t>
      </w:r>
      <w:r w:rsidR="001909C3">
        <w:rPr>
          <w:rFonts w:ascii="Palatino Linotype" w:hAnsi="Palatino Linotype" w:cs="Arial"/>
        </w:rPr>
        <w:t>aceptar</w:t>
      </w:r>
      <w:r w:rsidR="00D72F67">
        <w:rPr>
          <w:rFonts w:ascii="Palatino Linotype" w:hAnsi="Palatino Linotype" w:cs="Arial"/>
        </w:rPr>
        <w:t xml:space="preserve">  participar en el proceso </w:t>
      </w:r>
      <w:r w:rsidR="001909C3">
        <w:rPr>
          <w:rFonts w:ascii="Palatino Linotype" w:hAnsi="Palatino Linotype" w:cs="Arial"/>
        </w:rPr>
        <w:t>deben aceptar las reglas de la transparencia</w:t>
      </w:r>
      <w:r>
        <w:rPr>
          <w:rFonts w:ascii="Palatino Linotype" w:hAnsi="Palatino Linotype" w:cs="Arial"/>
        </w:rPr>
        <w:t xml:space="preserve"> establecidas en ley</w:t>
      </w:r>
      <w:r w:rsidR="001909C3">
        <w:rPr>
          <w:rFonts w:ascii="Palatino Linotype" w:hAnsi="Palatino Linotype" w:cs="Arial"/>
        </w:rPr>
        <w:t xml:space="preserve">, las cuales determinan que el nombre de los participantes en licitaciones e invitaciones restringidas es de acceso público, por lo que no se estaría vulnerando ningún derecho. </w:t>
      </w:r>
    </w:p>
    <w:p w:rsidR="00D72F67" w:rsidRDefault="00D72F67" w:rsidP="006B7E49">
      <w:pPr>
        <w:spacing w:after="0" w:line="360" w:lineRule="auto"/>
        <w:jc w:val="both"/>
        <w:rPr>
          <w:rFonts w:ascii="Palatino Linotype" w:hAnsi="Palatino Linotype" w:cs="Arial"/>
        </w:rPr>
      </w:pPr>
    </w:p>
    <w:p w:rsidR="00741E70" w:rsidRPr="00365BBB" w:rsidRDefault="001909C3" w:rsidP="006B7E49">
      <w:pPr>
        <w:spacing w:after="0" w:line="276" w:lineRule="auto"/>
        <w:jc w:val="both"/>
        <w:rPr>
          <w:rFonts w:ascii="Palatino Linotype" w:hAnsi="Palatino Linotype" w:cs="Arial"/>
        </w:rPr>
      </w:pPr>
      <w:r>
        <w:rPr>
          <w:rFonts w:ascii="Palatino Linotype" w:hAnsi="Palatino Linotype" w:cs="Arial"/>
        </w:rPr>
        <w:t>De tal suerte, al ser considerada información que corresponde a las obligaciones de transparencia, ni siquiera es necesario realizar l</w:t>
      </w:r>
      <w:r w:rsidR="00741E70" w:rsidRPr="00365BBB">
        <w:rPr>
          <w:rFonts w:ascii="Palatino Linotype" w:hAnsi="Palatino Linotype" w:cs="Arial"/>
        </w:rPr>
        <w:t>a prueba de interés público, con base en los elementos de idoneidad, necesidad y proporcionalidad,</w:t>
      </w:r>
      <w:r w:rsidR="00741E70" w:rsidRPr="00365BBB">
        <w:rPr>
          <w:rFonts w:ascii="Palatino Linotype" w:hAnsi="Palatino Linotype" w:cs="Arial"/>
          <w:b/>
        </w:rPr>
        <w:t xml:space="preserve"> </w:t>
      </w:r>
      <w:r w:rsidR="00963951">
        <w:rPr>
          <w:rFonts w:ascii="Palatino Linotype" w:hAnsi="Palatino Linotype" w:cs="Arial"/>
        </w:rPr>
        <w:t xml:space="preserve">de acuerdo a lo señalado en </w:t>
      </w:r>
      <w:r w:rsidR="00741E70" w:rsidRPr="00365BBB">
        <w:rPr>
          <w:rFonts w:ascii="Palatino Linotype" w:hAnsi="Palatino Linotype" w:cs="Arial"/>
        </w:rPr>
        <w:t>el artículo 184 de la Ley de Transparencia y Acceso a la Información Pública del Esta</w:t>
      </w:r>
      <w:r>
        <w:rPr>
          <w:rFonts w:ascii="Palatino Linotype" w:hAnsi="Palatino Linotype" w:cs="Arial"/>
        </w:rPr>
        <w:t>do de México y Municipios y la Ponencia contrario a lo que determinó, debió instruir la entrega de esta información.</w:t>
      </w:r>
    </w:p>
    <w:p w:rsidR="00490EF6" w:rsidRPr="00365BBB" w:rsidRDefault="00490EF6" w:rsidP="006B7E49">
      <w:pPr>
        <w:spacing w:after="0" w:line="276" w:lineRule="auto"/>
        <w:jc w:val="both"/>
        <w:rPr>
          <w:rFonts w:ascii="Palatino Linotype" w:hAnsi="Palatino Linotype" w:cs="Arial"/>
        </w:rPr>
      </w:pPr>
    </w:p>
    <w:p w:rsidR="00741E70" w:rsidRDefault="00741E70" w:rsidP="006B7E49">
      <w:pPr>
        <w:spacing w:after="0" w:line="276" w:lineRule="auto"/>
        <w:jc w:val="both"/>
        <w:rPr>
          <w:rFonts w:ascii="Palatino Linotype" w:hAnsi="Palatino Linotype" w:cs="Arial"/>
        </w:rPr>
      </w:pPr>
      <w:r w:rsidRPr="00365BBB">
        <w:rPr>
          <w:rFonts w:ascii="Palatino Linotype" w:hAnsi="Palatino Linotype" w:cs="Arial"/>
        </w:rPr>
        <w:t xml:space="preserve">Así, con base </w:t>
      </w:r>
      <w:r w:rsidR="00490EF6">
        <w:rPr>
          <w:rFonts w:ascii="Palatino Linotype" w:hAnsi="Palatino Linotype" w:cs="Arial"/>
        </w:rPr>
        <w:t>en los razonamientos expuestos,</w:t>
      </w:r>
      <w:r w:rsidRPr="00365BBB">
        <w:rPr>
          <w:rFonts w:ascii="Palatino Linotype" w:hAnsi="Palatino Linotype" w:cs="Arial"/>
          <w:b/>
        </w:rPr>
        <w:t xml:space="preserve"> emit</w:t>
      </w:r>
      <w:r w:rsidR="001909C3">
        <w:rPr>
          <w:rFonts w:ascii="Palatino Linotype" w:hAnsi="Palatino Linotype" w:cs="Arial"/>
          <w:b/>
        </w:rPr>
        <w:t>o</w:t>
      </w:r>
      <w:r w:rsidRPr="00365BBB">
        <w:rPr>
          <w:rFonts w:ascii="Palatino Linotype" w:hAnsi="Palatino Linotype" w:cs="Arial"/>
          <w:b/>
        </w:rPr>
        <w:t xml:space="preserve"> el presente voto particular</w:t>
      </w:r>
      <w:r w:rsidRPr="00365BBB">
        <w:rPr>
          <w:rFonts w:ascii="Palatino Linotype" w:hAnsi="Palatino Linotype" w:cs="Arial"/>
        </w:rPr>
        <w:t>.</w:t>
      </w:r>
    </w:p>
    <w:p w:rsidR="00490EF6" w:rsidRDefault="00490EF6" w:rsidP="006B7E49">
      <w:pPr>
        <w:spacing w:after="0" w:line="276" w:lineRule="auto"/>
        <w:jc w:val="both"/>
        <w:rPr>
          <w:rFonts w:ascii="Palatino Linotype" w:hAnsi="Palatino Linotype"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tblGrid>
      <w:tr w:rsidR="001909C3" w:rsidTr="001909C3">
        <w:trPr>
          <w:jc w:val="center"/>
        </w:trPr>
        <w:tc>
          <w:tcPr>
            <w:tcW w:w="4414" w:type="dxa"/>
          </w:tcPr>
          <w:p w:rsidR="001909C3" w:rsidRPr="00365BBB" w:rsidRDefault="001909C3" w:rsidP="006B7E49">
            <w:pPr>
              <w:spacing w:line="276" w:lineRule="auto"/>
              <w:jc w:val="both"/>
              <w:rPr>
                <w:rFonts w:ascii="Palatino Linotype" w:hAnsi="Palatino Linotype" w:cs="Tahoma"/>
              </w:rPr>
            </w:pPr>
          </w:p>
          <w:p w:rsidR="001909C3" w:rsidRPr="00365BBB" w:rsidRDefault="001909C3" w:rsidP="006B7E49">
            <w:pPr>
              <w:spacing w:line="276" w:lineRule="auto"/>
              <w:jc w:val="center"/>
              <w:rPr>
                <w:rFonts w:ascii="Palatino Linotype" w:hAnsi="Palatino Linotype" w:cs="Tahoma"/>
                <w:b/>
              </w:rPr>
            </w:pPr>
            <w:r w:rsidRPr="00365BBB">
              <w:rPr>
                <w:rFonts w:ascii="Palatino Linotype" w:hAnsi="Palatino Linotype" w:cs="Tahoma"/>
                <w:b/>
              </w:rPr>
              <w:t>Luis Gustavo Parra Noriega</w:t>
            </w:r>
          </w:p>
          <w:p w:rsidR="001909C3" w:rsidRDefault="001909C3" w:rsidP="006B7E49">
            <w:pPr>
              <w:spacing w:line="276" w:lineRule="auto"/>
              <w:jc w:val="center"/>
              <w:rPr>
                <w:rFonts w:ascii="Palatino Linotype" w:hAnsi="Palatino Linotype" w:cs="Tahoma"/>
              </w:rPr>
            </w:pPr>
            <w:r w:rsidRPr="00365BBB">
              <w:rPr>
                <w:rFonts w:ascii="Palatino Linotype" w:hAnsi="Palatino Linotype" w:cs="Tahoma"/>
              </w:rPr>
              <w:t>Comisionado</w:t>
            </w:r>
          </w:p>
          <w:p w:rsidR="001909C3" w:rsidRPr="00365BBB" w:rsidRDefault="001909C3" w:rsidP="006B7E49">
            <w:pPr>
              <w:spacing w:line="276" w:lineRule="auto"/>
              <w:jc w:val="center"/>
              <w:rPr>
                <w:rFonts w:ascii="Palatino Linotype" w:hAnsi="Palatino Linotype" w:cs="Tahoma"/>
                <w:b/>
              </w:rPr>
            </w:pPr>
            <w:r w:rsidRPr="00365BBB">
              <w:rPr>
                <w:rFonts w:ascii="Palatino Linotype" w:hAnsi="Palatino Linotype" w:cs="Tahoma"/>
                <w:b/>
              </w:rPr>
              <w:t>(Rúbrica)</w:t>
            </w:r>
          </w:p>
          <w:p w:rsidR="001909C3" w:rsidRDefault="001909C3" w:rsidP="006B7E49">
            <w:pPr>
              <w:spacing w:line="276" w:lineRule="auto"/>
              <w:jc w:val="both"/>
              <w:rPr>
                <w:rFonts w:ascii="Palatino Linotype" w:hAnsi="Palatino Linotype" w:cs="Arial"/>
              </w:rPr>
            </w:pPr>
            <w:bookmarkStart w:id="0" w:name="_GoBack"/>
            <w:bookmarkEnd w:id="0"/>
          </w:p>
        </w:tc>
      </w:tr>
    </w:tbl>
    <w:p w:rsidR="00490EF6" w:rsidRPr="00365BBB" w:rsidRDefault="00490EF6" w:rsidP="006B7E49">
      <w:pPr>
        <w:spacing w:after="0" w:line="276" w:lineRule="auto"/>
        <w:jc w:val="both"/>
        <w:rPr>
          <w:rFonts w:ascii="Palatino Linotype" w:hAnsi="Palatino Linotype" w:cs="Arial"/>
        </w:rPr>
      </w:pPr>
    </w:p>
    <w:p w:rsidR="00553ADE" w:rsidRPr="00365BBB" w:rsidRDefault="00553ADE" w:rsidP="006B7E49">
      <w:pPr>
        <w:spacing w:after="0" w:line="276" w:lineRule="auto"/>
        <w:jc w:val="both"/>
        <w:rPr>
          <w:rFonts w:ascii="Palatino Linotype" w:hAnsi="Palatino Linotype" w:cs="Tahoma"/>
        </w:rPr>
      </w:pPr>
    </w:p>
    <w:p w:rsidR="003512C9" w:rsidRPr="00365BBB" w:rsidRDefault="003512C9" w:rsidP="006B7E49">
      <w:pPr>
        <w:spacing w:after="0" w:line="276" w:lineRule="auto"/>
        <w:jc w:val="both"/>
        <w:rPr>
          <w:rFonts w:ascii="Tahoma" w:hAnsi="Tahoma" w:cs="Tahoma"/>
        </w:rPr>
      </w:pPr>
    </w:p>
    <w:sectPr w:rsidR="003512C9" w:rsidRPr="00365BBB"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F4E" w:rsidRDefault="002C7F4E" w:rsidP="00EE29F6">
      <w:pPr>
        <w:spacing w:after="0" w:line="240" w:lineRule="auto"/>
      </w:pPr>
      <w:r>
        <w:separator/>
      </w:r>
    </w:p>
  </w:endnote>
  <w:endnote w:type="continuationSeparator" w:id="0">
    <w:p w:rsidR="002C7F4E" w:rsidRDefault="002C7F4E"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818245"/>
      <w:docPartObj>
        <w:docPartGallery w:val="Page Numbers (Bottom of Page)"/>
        <w:docPartUnique/>
      </w:docPartObj>
    </w:sdtPr>
    <w:sdtEndPr/>
    <w:sdtContent>
      <w:sdt>
        <w:sdtPr>
          <w:id w:val="1728636285"/>
          <w:docPartObj>
            <w:docPartGallery w:val="Page Numbers (Top of Page)"/>
            <w:docPartUnique/>
          </w:docPartObj>
        </w:sdtPr>
        <w:sdtEndPr/>
        <w:sdtContent>
          <w:p w:rsidR="00F370EF" w:rsidRDefault="00F370E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F685E">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F685E">
              <w:rPr>
                <w:b/>
                <w:bCs/>
                <w:noProof/>
              </w:rPr>
              <w:t>5</w:t>
            </w:r>
            <w:r>
              <w:rPr>
                <w:b/>
                <w:bCs/>
                <w:sz w:val="24"/>
                <w:szCs w:val="24"/>
              </w:rPr>
              <w:fldChar w:fldCharType="end"/>
            </w:r>
          </w:p>
        </w:sdtContent>
      </w:sdt>
    </w:sdtContent>
  </w:sdt>
  <w:p w:rsidR="00F370EF" w:rsidRDefault="00F370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F4E" w:rsidRDefault="002C7F4E" w:rsidP="00EE29F6">
      <w:pPr>
        <w:spacing w:after="0" w:line="240" w:lineRule="auto"/>
      </w:pPr>
      <w:r>
        <w:separator/>
      </w:r>
    </w:p>
  </w:footnote>
  <w:footnote w:type="continuationSeparator" w:id="0">
    <w:p w:rsidR="002C7F4E" w:rsidRDefault="002C7F4E"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1106EA">
      <w:trPr>
        <w:trHeight w:val="2280"/>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70003" w:rsidRDefault="001106EA" w:rsidP="001106EA">
          <w:pPr>
            <w:pStyle w:val="Encabezado"/>
            <w:ind w:left="-108" w:right="-250"/>
            <w:jc w:val="both"/>
            <w:rPr>
              <w:rFonts w:ascii="Palatino Linotype" w:hAnsi="Palatino Linotype" w:cs="Tahoma"/>
              <w:sz w:val="24"/>
              <w:szCs w:val="24"/>
            </w:rPr>
          </w:pPr>
        </w:p>
        <w:p w:rsidR="001106EA" w:rsidRPr="00170003" w:rsidRDefault="001106EA" w:rsidP="0099345D">
          <w:pPr>
            <w:pStyle w:val="Encabezado"/>
            <w:ind w:left="-108" w:right="28"/>
            <w:jc w:val="both"/>
            <w:rPr>
              <w:rFonts w:ascii="Palatino Linotype" w:hAnsi="Palatino Linotype" w:cs="Tahoma"/>
              <w:b/>
              <w:sz w:val="24"/>
              <w:szCs w:val="24"/>
            </w:rPr>
          </w:pPr>
          <w:r w:rsidRPr="00170003">
            <w:rPr>
              <w:rFonts w:ascii="Palatino Linotype" w:hAnsi="Palatino Linotype" w:cs="Tahoma"/>
              <w:b/>
              <w:sz w:val="24"/>
              <w:szCs w:val="24"/>
            </w:rPr>
            <w:t>Voto Particular</w:t>
          </w:r>
          <w:r w:rsidR="00026435">
            <w:rPr>
              <w:rFonts w:ascii="Palatino Linotype" w:hAnsi="Palatino Linotype" w:cs="Tahoma"/>
              <w:b/>
              <w:sz w:val="24"/>
              <w:szCs w:val="24"/>
            </w:rPr>
            <w:t xml:space="preserve"> </w:t>
          </w:r>
        </w:p>
        <w:p w:rsidR="0077694E" w:rsidRDefault="001106EA" w:rsidP="0099345D">
          <w:pPr>
            <w:pStyle w:val="Encabezado"/>
            <w:ind w:left="-108" w:right="28"/>
            <w:jc w:val="both"/>
            <w:rPr>
              <w:rFonts w:ascii="Palatino Linotype" w:hAnsi="Palatino Linotype" w:cs="Tahoma"/>
              <w:b/>
              <w:sz w:val="24"/>
              <w:szCs w:val="24"/>
              <w:lang w:val="es-MX"/>
            </w:rPr>
          </w:pPr>
          <w:r w:rsidRPr="00170003">
            <w:rPr>
              <w:rFonts w:ascii="Palatino Linotype" w:hAnsi="Palatino Linotype" w:cs="Tahoma"/>
              <w:b/>
              <w:sz w:val="24"/>
              <w:szCs w:val="24"/>
            </w:rPr>
            <w:t xml:space="preserve">Recurso de Revisión: </w:t>
          </w:r>
          <w:r w:rsidR="0077488C" w:rsidRPr="00170003">
            <w:rPr>
              <w:rFonts w:ascii="Palatino Linotype" w:hAnsi="Palatino Linotype" w:cs="Tahoma"/>
              <w:b/>
              <w:sz w:val="24"/>
              <w:szCs w:val="24"/>
              <w:lang w:val="es-MX"/>
            </w:rPr>
            <w:t>03</w:t>
          </w:r>
          <w:r w:rsidR="00026435">
            <w:rPr>
              <w:rFonts w:ascii="Palatino Linotype" w:hAnsi="Palatino Linotype" w:cs="Tahoma"/>
              <w:b/>
              <w:sz w:val="24"/>
              <w:szCs w:val="24"/>
              <w:lang w:val="es-MX"/>
            </w:rPr>
            <w:t>459</w:t>
          </w:r>
          <w:r w:rsidR="0077488C" w:rsidRPr="00170003">
            <w:rPr>
              <w:rFonts w:ascii="Palatino Linotype" w:hAnsi="Palatino Linotype" w:cs="Tahoma"/>
              <w:b/>
              <w:sz w:val="24"/>
              <w:szCs w:val="24"/>
              <w:lang w:val="es-MX"/>
            </w:rPr>
            <w:t>/INFOEM/IP/RR/2018</w:t>
          </w:r>
        </w:p>
        <w:p w:rsidR="003410EA" w:rsidRPr="00170003" w:rsidRDefault="003410EA" w:rsidP="0099345D">
          <w:pPr>
            <w:pStyle w:val="Encabezado"/>
            <w:ind w:left="-108" w:right="28"/>
            <w:jc w:val="both"/>
            <w:rPr>
              <w:rFonts w:ascii="Palatino Linotype" w:hAnsi="Palatino Linotype" w:cs="Tahoma"/>
              <w:b/>
              <w:sz w:val="24"/>
              <w:szCs w:val="24"/>
            </w:rPr>
          </w:pPr>
          <w:r>
            <w:rPr>
              <w:rFonts w:ascii="Palatino Linotype" w:hAnsi="Palatino Linotype" w:cs="Tahoma"/>
              <w:b/>
              <w:sz w:val="24"/>
              <w:szCs w:val="24"/>
              <w:lang w:val="es-MX"/>
            </w:rPr>
            <w:t xml:space="preserve">Sujeto Obligado: </w:t>
          </w:r>
          <w:r w:rsidR="00026435" w:rsidRPr="00026435">
            <w:rPr>
              <w:rFonts w:ascii="Palatino Linotype" w:hAnsi="Palatino Linotype" w:cs="Tahoma"/>
              <w:b/>
              <w:sz w:val="24"/>
              <w:szCs w:val="24"/>
              <w:lang w:val="es-MX"/>
            </w:rPr>
            <w:t>Tecnológico de Estudios Superiores de Jilotepec</w:t>
          </w:r>
        </w:p>
        <w:p w:rsidR="0081690C" w:rsidRPr="0077488C" w:rsidRDefault="0081690C" w:rsidP="00B5735F">
          <w:pPr>
            <w:pStyle w:val="Encabezado"/>
            <w:ind w:left="-108" w:right="28"/>
            <w:jc w:val="both"/>
            <w:rPr>
              <w:rFonts w:ascii="Palatino Linotype" w:hAnsi="Palatino Linotype" w:cs="Tahoma"/>
            </w:rPr>
          </w:pPr>
          <w:r w:rsidRPr="00170003">
            <w:rPr>
              <w:rFonts w:ascii="Palatino Linotype" w:hAnsi="Palatino Linotype" w:cs="Tahoma"/>
              <w:b/>
              <w:sz w:val="24"/>
              <w:szCs w:val="24"/>
            </w:rPr>
            <w:t>Comisionad</w:t>
          </w:r>
          <w:r w:rsidR="00B5735F">
            <w:rPr>
              <w:rFonts w:ascii="Palatino Linotype" w:hAnsi="Palatino Linotype" w:cs="Tahoma"/>
              <w:b/>
              <w:sz w:val="24"/>
              <w:szCs w:val="24"/>
            </w:rPr>
            <w:t>o</w:t>
          </w:r>
          <w:r w:rsidRPr="00170003">
            <w:rPr>
              <w:rFonts w:ascii="Palatino Linotype" w:hAnsi="Palatino Linotype" w:cs="Tahoma"/>
              <w:b/>
              <w:sz w:val="24"/>
              <w:szCs w:val="24"/>
            </w:rPr>
            <w:t xml:space="preserve"> Ponente: </w:t>
          </w:r>
          <w:r w:rsidR="00C66349">
            <w:rPr>
              <w:rFonts w:ascii="Palatino Linotype" w:hAnsi="Palatino Linotype" w:cs="Tahoma"/>
              <w:b/>
              <w:sz w:val="24"/>
              <w:szCs w:val="24"/>
              <w:lang w:val="es-MX"/>
            </w:rPr>
            <w:t>Javier Martínez Cruz</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666CCB"/>
    <w:multiLevelType w:val="hybridMultilevel"/>
    <w:tmpl w:val="ED94E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0"/>
  </w:num>
  <w:num w:numId="5">
    <w:abstractNumId w:val="8"/>
  </w:num>
  <w:num w:numId="6">
    <w:abstractNumId w:val="2"/>
  </w:num>
  <w:num w:numId="7">
    <w:abstractNumId w:val="6"/>
  </w:num>
  <w:num w:numId="8">
    <w:abstractNumId w:val="13"/>
  </w:num>
  <w:num w:numId="9">
    <w:abstractNumId w:val="9"/>
  </w:num>
  <w:num w:numId="10">
    <w:abstractNumId w:val="12"/>
  </w:num>
  <w:num w:numId="11">
    <w:abstractNumId w:val="5"/>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11959"/>
    <w:rsid w:val="00020D08"/>
    <w:rsid w:val="00026435"/>
    <w:rsid w:val="000301C6"/>
    <w:rsid w:val="00032450"/>
    <w:rsid w:val="00040DD1"/>
    <w:rsid w:val="00060F74"/>
    <w:rsid w:val="0006561A"/>
    <w:rsid w:val="00087AC8"/>
    <w:rsid w:val="00092DF2"/>
    <w:rsid w:val="000B235B"/>
    <w:rsid w:val="000B7F6F"/>
    <w:rsid w:val="000C10B7"/>
    <w:rsid w:val="000D186F"/>
    <w:rsid w:val="000E0463"/>
    <w:rsid w:val="000E1146"/>
    <w:rsid w:val="000E7B77"/>
    <w:rsid w:val="00101D49"/>
    <w:rsid w:val="001106EA"/>
    <w:rsid w:val="00113C9C"/>
    <w:rsid w:val="001159DC"/>
    <w:rsid w:val="00116E1A"/>
    <w:rsid w:val="00136AD8"/>
    <w:rsid w:val="00140A57"/>
    <w:rsid w:val="00141FFF"/>
    <w:rsid w:val="0014736A"/>
    <w:rsid w:val="00157620"/>
    <w:rsid w:val="001607BB"/>
    <w:rsid w:val="00162325"/>
    <w:rsid w:val="0016780D"/>
    <w:rsid w:val="00170003"/>
    <w:rsid w:val="00172FA3"/>
    <w:rsid w:val="0018472D"/>
    <w:rsid w:val="001909C3"/>
    <w:rsid w:val="00193AA8"/>
    <w:rsid w:val="001959E4"/>
    <w:rsid w:val="001A145C"/>
    <w:rsid w:val="001C1C64"/>
    <w:rsid w:val="001C714F"/>
    <w:rsid w:val="00202FF5"/>
    <w:rsid w:val="00217CF5"/>
    <w:rsid w:val="00231B68"/>
    <w:rsid w:val="00243A13"/>
    <w:rsid w:val="0028037C"/>
    <w:rsid w:val="002A1727"/>
    <w:rsid w:val="002A2EE7"/>
    <w:rsid w:val="002C2405"/>
    <w:rsid w:val="002C7F4E"/>
    <w:rsid w:val="002D3AA1"/>
    <w:rsid w:val="002E5A1A"/>
    <w:rsid w:val="002E6535"/>
    <w:rsid w:val="003410EA"/>
    <w:rsid w:val="003512C9"/>
    <w:rsid w:val="00365BBB"/>
    <w:rsid w:val="0037237D"/>
    <w:rsid w:val="00383084"/>
    <w:rsid w:val="003A10D0"/>
    <w:rsid w:val="003A666B"/>
    <w:rsid w:val="003A71C0"/>
    <w:rsid w:val="003B6547"/>
    <w:rsid w:val="003B7163"/>
    <w:rsid w:val="003B7A5E"/>
    <w:rsid w:val="003C1545"/>
    <w:rsid w:val="003C3A8C"/>
    <w:rsid w:val="003E5D1D"/>
    <w:rsid w:val="003E698F"/>
    <w:rsid w:val="003F2426"/>
    <w:rsid w:val="0040139C"/>
    <w:rsid w:val="004211BB"/>
    <w:rsid w:val="00433746"/>
    <w:rsid w:val="00434C88"/>
    <w:rsid w:val="00435E69"/>
    <w:rsid w:val="00445BDF"/>
    <w:rsid w:val="0046197F"/>
    <w:rsid w:val="00490EF6"/>
    <w:rsid w:val="00490F50"/>
    <w:rsid w:val="004A4555"/>
    <w:rsid w:val="004B2EE2"/>
    <w:rsid w:val="004B541F"/>
    <w:rsid w:val="004B5C9A"/>
    <w:rsid w:val="004C4912"/>
    <w:rsid w:val="004E7007"/>
    <w:rsid w:val="004F350F"/>
    <w:rsid w:val="00524DA5"/>
    <w:rsid w:val="00542CB5"/>
    <w:rsid w:val="00544812"/>
    <w:rsid w:val="005523D2"/>
    <w:rsid w:val="00553ADE"/>
    <w:rsid w:val="0056120D"/>
    <w:rsid w:val="00582CCB"/>
    <w:rsid w:val="00584D73"/>
    <w:rsid w:val="0059329D"/>
    <w:rsid w:val="005A2510"/>
    <w:rsid w:val="005B4018"/>
    <w:rsid w:val="005B7EB8"/>
    <w:rsid w:val="005C094E"/>
    <w:rsid w:val="005C225B"/>
    <w:rsid w:val="005C73EE"/>
    <w:rsid w:val="005D11C8"/>
    <w:rsid w:val="005D194B"/>
    <w:rsid w:val="005E2798"/>
    <w:rsid w:val="005F3B38"/>
    <w:rsid w:val="00605683"/>
    <w:rsid w:val="006248F2"/>
    <w:rsid w:val="006449B9"/>
    <w:rsid w:val="00645087"/>
    <w:rsid w:val="00654ACD"/>
    <w:rsid w:val="0067046F"/>
    <w:rsid w:val="00680B30"/>
    <w:rsid w:val="00682003"/>
    <w:rsid w:val="00684B16"/>
    <w:rsid w:val="006958AD"/>
    <w:rsid w:val="00695913"/>
    <w:rsid w:val="006B7E49"/>
    <w:rsid w:val="006E2ED0"/>
    <w:rsid w:val="006F5316"/>
    <w:rsid w:val="0072013A"/>
    <w:rsid w:val="00724F08"/>
    <w:rsid w:val="00731E19"/>
    <w:rsid w:val="007378E2"/>
    <w:rsid w:val="00741E70"/>
    <w:rsid w:val="00742A15"/>
    <w:rsid w:val="00745549"/>
    <w:rsid w:val="0077488C"/>
    <w:rsid w:val="0077694E"/>
    <w:rsid w:val="007954DE"/>
    <w:rsid w:val="007A18DC"/>
    <w:rsid w:val="007A236B"/>
    <w:rsid w:val="007A2D13"/>
    <w:rsid w:val="007D30ED"/>
    <w:rsid w:val="007D3257"/>
    <w:rsid w:val="007E0174"/>
    <w:rsid w:val="007F1C1D"/>
    <w:rsid w:val="007F7D80"/>
    <w:rsid w:val="0081690C"/>
    <w:rsid w:val="00836BC2"/>
    <w:rsid w:val="00861757"/>
    <w:rsid w:val="00865F2E"/>
    <w:rsid w:val="008A3DA9"/>
    <w:rsid w:val="008B08C9"/>
    <w:rsid w:val="008B19C4"/>
    <w:rsid w:val="008B5A5A"/>
    <w:rsid w:val="008E6901"/>
    <w:rsid w:val="00906D44"/>
    <w:rsid w:val="00922B2E"/>
    <w:rsid w:val="00927BD1"/>
    <w:rsid w:val="00927FD1"/>
    <w:rsid w:val="009479AA"/>
    <w:rsid w:val="00950355"/>
    <w:rsid w:val="00957FF3"/>
    <w:rsid w:val="00963951"/>
    <w:rsid w:val="00974836"/>
    <w:rsid w:val="0099345D"/>
    <w:rsid w:val="009943E1"/>
    <w:rsid w:val="009B2C0B"/>
    <w:rsid w:val="009C269B"/>
    <w:rsid w:val="009D07E2"/>
    <w:rsid w:val="009D14D2"/>
    <w:rsid w:val="009D49BE"/>
    <w:rsid w:val="009E41F7"/>
    <w:rsid w:val="009F6181"/>
    <w:rsid w:val="00A13BE9"/>
    <w:rsid w:val="00A34659"/>
    <w:rsid w:val="00A364BA"/>
    <w:rsid w:val="00A37655"/>
    <w:rsid w:val="00A5061A"/>
    <w:rsid w:val="00A63A51"/>
    <w:rsid w:val="00A87924"/>
    <w:rsid w:val="00AA090B"/>
    <w:rsid w:val="00AB3A4B"/>
    <w:rsid w:val="00AF3B6B"/>
    <w:rsid w:val="00B263C5"/>
    <w:rsid w:val="00B51034"/>
    <w:rsid w:val="00B5279E"/>
    <w:rsid w:val="00B53028"/>
    <w:rsid w:val="00B5735F"/>
    <w:rsid w:val="00B61D0B"/>
    <w:rsid w:val="00B67355"/>
    <w:rsid w:val="00B7393F"/>
    <w:rsid w:val="00B761B1"/>
    <w:rsid w:val="00BB6EE3"/>
    <w:rsid w:val="00BC4882"/>
    <w:rsid w:val="00BC6D84"/>
    <w:rsid w:val="00BD4705"/>
    <w:rsid w:val="00BD5DBE"/>
    <w:rsid w:val="00BD6DB9"/>
    <w:rsid w:val="00C03E23"/>
    <w:rsid w:val="00C30FD6"/>
    <w:rsid w:val="00C44CA4"/>
    <w:rsid w:val="00C55FFC"/>
    <w:rsid w:val="00C60A03"/>
    <w:rsid w:val="00C66349"/>
    <w:rsid w:val="00C75CE0"/>
    <w:rsid w:val="00CA050D"/>
    <w:rsid w:val="00CA2787"/>
    <w:rsid w:val="00CA2EF1"/>
    <w:rsid w:val="00CA7627"/>
    <w:rsid w:val="00CE50F9"/>
    <w:rsid w:val="00CF685E"/>
    <w:rsid w:val="00D05740"/>
    <w:rsid w:val="00D13875"/>
    <w:rsid w:val="00D160F2"/>
    <w:rsid w:val="00D20732"/>
    <w:rsid w:val="00D368B3"/>
    <w:rsid w:val="00D51426"/>
    <w:rsid w:val="00D51D90"/>
    <w:rsid w:val="00D55429"/>
    <w:rsid w:val="00D65D0C"/>
    <w:rsid w:val="00D666D4"/>
    <w:rsid w:val="00D7239D"/>
    <w:rsid w:val="00D72F67"/>
    <w:rsid w:val="00D75FAE"/>
    <w:rsid w:val="00D77F63"/>
    <w:rsid w:val="00D9114A"/>
    <w:rsid w:val="00D9210C"/>
    <w:rsid w:val="00DA11C0"/>
    <w:rsid w:val="00DC26CE"/>
    <w:rsid w:val="00E0116A"/>
    <w:rsid w:val="00E145E1"/>
    <w:rsid w:val="00E22CDE"/>
    <w:rsid w:val="00E26123"/>
    <w:rsid w:val="00E3399E"/>
    <w:rsid w:val="00E34559"/>
    <w:rsid w:val="00E41481"/>
    <w:rsid w:val="00E416F8"/>
    <w:rsid w:val="00E6596A"/>
    <w:rsid w:val="00E82F77"/>
    <w:rsid w:val="00E83683"/>
    <w:rsid w:val="00E8609A"/>
    <w:rsid w:val="00E93B0A"/>
    <w:rsid w:val="00EB6B98"/>
    <w:rsid w:val="00EB7128"/>
    <w:rsid w:val="00EC223E"/>
    <w:rsid w:val="00EC7AE6"/>
    <w:rsid w:val="00EE18E8"/>
    <w:rsid w:val="00EE29F6"/>
    <w:rsid w:val="00F0484C"/>
    <w:rsid w:val="00F14384"/>
    <w:rsid w:val="00F17315"/>
    <w:rsid w:val="00F23891"/>
    <w:rsid w:val="00F370EF"/>
    <w:rsid w:val="00F377B8"/>
    <w:rsid w:val="00F7229D"/>
    <w:rsid w:val="00F8595A"/>
    <w:rsid w:val="00F94DFB"/>
    <w:rsid w:val="00FA7B69"/>
    <w:rsid w:val="00FB3044"/>
    <w:rsid w:val="00FC1D9D"/>
    <w:rsid w:val="00FC392D"/>
    <w:rsid w:val="00FD1849"/>
    <w:rsid w:val="00FD3150"/>
    <w:rsid w:val="00FD530D"/>
    <w:rsid w:val="00FE003F"/>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BB0D7C-0352-49D3-9D08-15DB3F46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96A"/>
  </w:style>
  <w:style w:type="paragraph" w:styleId="Ttulo1">
    <w:name w:val="heading 1"/>
    <w:basedOn w:val="Normal"/>
    <w:next w:val="Normal"/>
    <w:link w:val="Ttulo1Car"/>
    <w:uiPriority w:val="9"/>
    <w:qFormat/>
    <w:rsid w:val="007E0174"/>
    <w:pPr>
      <w:keepNext/>
      <w:keepLines/>
      <w:spacing w:before="240" w:after="0"/>
      <w:outlineLvl w:val="0"/>
    </w:pPr>
    <w:rPr>
      <w:rFonts w:ascii="Palatino Linotype" w:eastAsiaTheme="majorEastAsia" w:hAnsi="Palatino Linotype" w:cstheme="majorBidi"/>
      <w:b/>
      <w:sz w:val="24"/>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43E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0DD1"/>
  </w:style>
  <w:style w:type="character" w:customStyle="1" w:styleId="Ttulo1Car">
    <w:name w:val="Título 1 Car"/>
    <w:basedOn w:val="Fuentedeprrafopredeter"/>
    <w:link w:val="Ttulo1"/>
    <w:uiPriority w:val="9"/>
    <w:rsid w:val="007E0174"/>
    <w:rPr>
      <w:rFonts w:ascii="Palatino Linotype" w:eastAsiaTheme="majorEastAsia" w:hAnsi="Palatino Linotype" w:cstheme="majorBidi"/>
      <w:b/>
      <w:sz w:val="24"/>
      <w:szCs w:val="3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7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102C1-879F-4248-BA8C-2F97F99C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1276</Words>
  <Characters>7018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15</cp:revision>
  <cp:lastPrinted>2018-09-17T20:45:00Z</cp:lastPrinted>
  <dcterms:created xsi:type="dcterms:W3CDTF">2018-11-20T17:23:00Z</dcterms:created>
  <dcterms:modified xsi:type="dcterms:W3CDTF">2018-11-20T22:07:00Z</dcterms:modified>
</cp:coreProperties>
</file>